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5"/>
      <w:bookmarkStart w:id="1" w:name="OLE_LINK6"/>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R4-2201399</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latency reduction of positioning measurement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6.21.2.2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 there were discussions on latency reduction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numPr>
                <w:ilvl w:val="0"/>
                <w:numId w:val="0"/>
              </w:numPr>
              <w:spacing w:before="240"/>
              <w:ind w:leftChars="0"/>
              <w:contextualSpacing w:val="0"/>
              <w:rPr>
                <w:b/>
                <w:sz w:val="22"/>
                <w:szCs w:val="22"/>
                <w:u w:val="single"/>
                <w:lang w:eastAsia="ko-KR"/>
              </w:rPr>
            </w:pPr>
            <w:r>
              <w:rPr>
                <w:b/>
                <w:sz w:val="22"/>
                <w:szCs w:val="22"/>
                <w:u w:val="single"/>
                <w:lang w:eastAsia="ko-KR"/>
              </w:rPr>
              <w:t>One or more conditions under which samples for AGC is reduced or not required for PRS measurements</w:t>
            </w:r>
          </w:p>
          <w:p>
            <w:pPr>
              <w:pStyle w:val="25"/>
              <w:numPr>
                <w:ilvl w:val="0"/>
                <w:numId w:val="6"/>
              </w:numPr>
              <w:spacing w:before="240" w:after="120" w:line="252" w:lineRule="auto"/>
              <w:contextualSpacing w:val="0"/>
              <w:rPr>
                <w:b/>
                <w:bCs/>
                <w:sz w:val="18"/>
                <w:szCs w:val="21"/>
                <w:u w:val="single"/>
                <w:lang w:eastAsia="ja-JP"/>
              </w:rPr>
            </w:pPr>
            <w:r>
              <w:rPr>
                <w:b/>
                <w:bCs/>
                <w:sz w:val="18"/>
                <w:szCs w:val="21"/>
                <w:u w:val="single"/>
                <w:lang w:eastAsia="ja-JP"/>
              </w:rPr>
              <w:t>Agreements</w:t>
            </w:r>
          </w:p>
          <w:p>
            <w:pPr>
              <w:pStyle w:val="25"/>
              <w:numPr>
                <w:ilvl w:val="1"/>
                <w:numId w:val="7"/>
              </w:numPr>
              <w:spacing w:after="120" w:line="252" w:lineRule="auto"/>
              <w:contextualSpacing w:val="0"/>
              <w:rPr>
                <w:sz w:val="18"/>
                <w:szCs w:val="21"/>
                <w:lang w:eastAsia="ja-JP"/>
              </w:rPr>
            </w:pPr>
            <w:r>
              <w:rPr>
                <w:sz w:val="18"/>
                <w:szCs w:val="21"/>
                <w:lang w:eastAsia="ko-KR"/>
              </w:rPr>
              <w:t>Additional samples for AGC for PRS measurements are not required in case at least one of the following conditions is met</w:t>
            </w:r>
          </w:p>
          <w:p>
            <w:pPr>
              <w:pStyle w:val="25"/>
              <w:numPr>
                <w:ilvl w:val="2"/>
                <w:numId w:val="7"/>
              </w:numPr>
              <w:spacing w:after="120"/>
              <w:contextualSpacing w:val="0"/>
              <w:rPr>
                <w:sz w:val="18"/>
                <w:szCs w:val="21"/>
              </w:rPr>
            </w:pPr>
            <w:r>
              <w:rPr>
                <w:sz w:val="18"/>
                <w:szCs w:val="21"/>
                <w:lang w:eastAsia="ko-KR"/>
              </w:rPr>
              <w:t xml:space="preserve">Condition #1: </w:t>
            </w:r>
          </w:p>
          <w:p>
            <w:pPr>
              <w:pStyle w:val="25"/>
              <w:numPr>
                <w:ilvl w:val="3"/>
                <w:numId w:val="7"/>
              </w:numPr>
              <w:spacing w:after="120"/>
              <w:contextualSpacing w:val="0"/>
              <w:rPr>
                <w:sz w:val="18"/>
                <w:szCs w:val="21"/>
              </w:rPr>
            </w:pPr>
            <w:r>
              <w:rPr>
                <w:sz w:val="18"/>
                <w:szCs w:val="21"/>
                <w:lang w:eastAsia="ko-KR"/>
              </w:rPr>
              <w:t xml:space="preserve">1A) </w:t>
            </w:r>
            <w:r>
              <w:rPr>
                <w:sz w:val="18"/>
                <w:szCs w:val="21"/>
              </w:rPr>
              <w:t xml:space="preserve">PRS bandwidth is within the active BWP and </w:t>
            </w:r>
          </w:p>
          <w:p>
            <w:pPr>
              <w:pStyle w:val="25"/>
              <w:numPr>
                <w:ilvl w:val="3"/>
                <w:numId w:val="7"/>
              </w:numPr>
              <w:spacing w:after="120"/>
              <w:contextualSpacing w:val="0"/>
              <w:rPr>
                <w:sz w:val="18"/>
                <w:szCs w:val="21"/>
              </w:rPr>
            </w:pPr>
            <w:r>
              <w:rPr>
                <w:sz w:val="18"/>
                <w:szCs w:val="21"/>
              </w:rPr>
              <w:t>FFS: 1B) Certain power difference between serving and neighbor cell signal power is maintained</w:t>
            </w:r>
          </w:p>
          <w:p>
            <w:pPr>
              <w:pStyle w:val="25"/>
              <w:numPr>
                <w:ilvl w:val="4"/>
                <w:numId w:val="7"/>
              </w:numPr>
              <w:spacing w:after="120"/>
              <w:contextualSpacing w:val="0"/>
              <w:rPr>
                <w:sz w:val="18"/>
                <w:szCs w:val="21"/>
              </w:rPr>
            </w:pPr>
            <w:r>
              <w:rPr>
                <w:sz w:val="18"/>
                <w:szCs w:val="21"/>
              </w:rPr>
              <w:t>Option 1: Target PRS Es/Iot</w:t>
            </w:r>
            <w:r>
              <w:rPr>
                <w:rFonts w:hint="eastAsia"/>
                <w:sz w:val="18"/>
                <w:szCs w:val="21"/>
              </w:rPr>
              <w:t xml:space="preserve"> side condition is ≥ -6dB</w:t>
            </w:r>
          </w:p>
          <w:p>
            <w:pPr>
              <w:pStyle w:val="25"/>
              <w:numPr>
                <w:ilvl w:val="4"/>
                <w:numId w:val="7"/>
              </w:numPr>
              <w:spacing w:after="120"/>
              <w:contextualSpacing w:val="0"/>
              <w:rPr>
                <w:sz w:val="18"/>
                <w:szCs w:val="21"/>
              </w:rPr>
            </w:pPr>
            <w:r>
              <w:rPr>
                <w:sz w:val="18"/>
                <w:szCs w:val="21"/>
              </w:rPr>
              <w:t>Option 2: Difference between serving and neighboring cell Es/Iot is within X dB</w:t>
            </w:r>
          </w:p>
          <w:p>
            <w:pPr>
              <w:pStyle w:val="25"/>
              <w:numPr>
                <w:ilvl w:val="0"/>
                <w:numId w:val="7"/>
              </w:numPr>
              <w:spacing w:after="120"/>
              <w:contextualSpacing w:val="0"/>
              <w:rPr>
                <w:sz w:val="18"/>
                <w:szCs w:val="22"/>
                <w:lang w:eastAsia="zh-CN"/>
              </w:rPr>
            </w:pPr>
            <w:r>
              <w:rPr>
                <w:sz w:val="18"/>
                <w:szCs w:val="21"/>
                <w:lang w:eastAsia="zh-CN"/>
              </w:rPr>
              <w:t>FFS: Additional conditions 2-3 under which AGC is not needed are:</w:t>
            </w:r>
          </w:p>
          <w:p>
            <w:pPr>
              <w:pStyle w:val="25"/>
              <w:numPr>
                <w:ilvl w:val="1"/>
                <w:numId w:val="7"/>
              </w:numPr>
              <w:spacing w:after="120"/>
              <w:contextualSpacing w:val="0"/>
              <w:rPr>
                <w:sz w:val="18"/>
                <w:szCs w:val="22"/>
                <w:lang w:eastAsia="zh-CN"/>
              </w:rPr>
            </w:pPr>
            <w:r>
              <w:rPr>
                <w:sz w:val="18"/>
                <w:szCs w:val="22"/>
                <w:lang w:eastAsia="zh-CN"/>
              </w:rPr>
              <w:t>Condition 2: QC, CMCC</w:t>
            </w:r>
          </w:p>
          <w:p>
            <w:pPr>
              <w:pStyle w:val="25"/>
              <w:numPr>
                <w:ilvl w:val="2"/>
                <w:numId w:val="7"/>
              </w:numPr>
              <w:spacing w:after="120"/>
              <w:contextualSpacing w:val="0"/>
              <w:rPr>
                <w:sz w:val="18"/>
                <w:szCs w:val="22"/>
                <w:lang w:eastAsia="zh-CN"/>
              </w:rPr>
            </w:pPr>
            <w:r>
              <w:rPr>
                <w:sz w:val="18"/>
                <w:szCs w:val="22"/>
                <w:lang w:eastAsia="zh-CN"/>
              </w:rPr>
              <w:t>When UE is provided with the QCL information of the PRS (dl-PRS-QCL-Info)</w:t>
            </w:r>
          </w:p>
          <w:p>
            <w:pPr>
              <w:pStyle w:val="25"/>
              <w:numPr>
                <w:ilvl w:val="2"/>
                <w:numId w:val="7"/>
              </w:numPr>
              <w:spacing w:after="120"/>
              <w:contextualSpacing w:val="0"/>
              <w:rPr>
                <w:sz w:val="18"/>
                <w:szCs w:val="22"/>
                <w:lang w:eastAsia="zh-CN"/>
              </w:rPr>
            </w:pPr>
            <w:r>
              <w:rPr>
                <w:sz w:val="18"/>
                <w:szCs w:val="22"/>
                <w:lang w:eastAsia="zh-CN"/>
              </w:rPr>
              <w:t>Condition 2a (QC):</w:t>
            </w:r>
          </w:p>
          <w:p>
            <w:pPr>
              <w:pStyle w:val="25"/>
              <w:numPr>
                <w:ilvl w:val="3"/>
                <w:numId w:val="7"/>
              </w:numPr>
              <w:spacing w:after="120"/>
              <w:contextualSpacing w:val="0"/>
              <w:rPr>
                <w:sz w:val="18"/>
                <w:szCs w:val="22"/>
                <w:lang w:eastAsia="zh-CN"/>
              </w:rPr>
            </w:pPr>
            <w:r>
              <w:rPr>
                <w:sz w:val="18"/>
                <w:szCs w:val="22"/>
                <w:lang w:eastAsia="zh-CN"/>
              </w:rPr>
              <w:t>If PRS QCL information is provided with SSB as reference with QCL Type A, Type D and average gain</w:t>
            </w:r>
          </w:p>
          <w:p>
            <w:pPr>
              <w:pStyle w:val="25"/>
              <w:numPr>
                <w:ilvl w:val="1"/>
                <w:numId w:val="7"/>
              </w:numPr>
              <w:spacing w:after="120"/>
              <w:contextualSpacing w:val="0"/>
              <w:rPr>
                <w:sz w:val="18"/>
                <w:szCs w:val="22"/>
                <w:lang w:eastAsia="zh-CN"/>
              </w:rPr>
            </w:pPr>
            <w:r>
              <w:rPr>
                <w:sz w:val="18"/>
                <w:szCs w:val="22"/>
                <w:lang w:eastAsia="zh-CN"/>
              </w:rPr>
              <w:t>Condition 3: QC, CATT</w:t>
            </w:r>
          </w:p>
          <w:p>
            <w:pPr>
              <w:pStyle w:val="25"/>
              <w:numPr>
                <w:ilvl w:val="2"/>
                <w:numId w:val="7"/>
              </w:numPr>
              <w:overflowPunct w:val="0"/>
              <w:autoSpaceDE w:val="0"/>
              <w:autoSpaceDN w:val="0"/>
              <w:adjustRightInd w:val="0"/>
              <w:spacing w:after="120"/>
              <w:contextualSpacing w:val="0"/>
              <w:textAlignment w:val="baseline"/>
              <w:rPr>
                <w:sz w:val="18"/>
                <w:szCs w:val="22"/>
                <w:lang w:eastAsia="zh-CN"/>
              </w:rPr>
            </w:pPr>
            <w:r>
              <w:rPr>
                <w:sz w:val="18"/>
                <w:szCs w:val="22"/>
                <w:lang w:eastAsia="zh-CN"/>
              </w:rPr>
              <w:t>Based on PRS configuration parameters:</w:t>
            </w:r>
          </w:p>
          <w:p>
            <w:pPr>
              <w:pStyle w:val="25"/>
              <w:numPr>
                <w:ilvl w:val="2"/>
                <w:numId w:val="7"/>
              </w:numPr>
              <w:overflowPunct w:val="0"/>
              <w:autoSpaceDE w:val="0"/>
              <w:autoSpaceDN w:val="0"/>
              <w:adjustRightInd w:val="0"/>
              <w:spacing w:after="120"/>
              <w:contextualSpacing w:val="0"/>
              <w:textAlignment w:val="baseline"/>
              <w:rPr>
                <w:sz w:val="18"/>
                <w:szCs w:val="22"/>
                <w:lang w:eastAsia="zh-CN"/>
              </w:rPr>
            </w:pPr>
            <w:r>
              <w:rPr>
                <w:sz w:val="18"/>
                <w:szCs w:val="22"/>
                <w:lang w:eastAsia="zh-CN"/>
              </w:rPr>
              <w:t>Condition 3a: QC, OPPO</w:t>
            </w:r>
          </w:p>
          <w:p>
            <w:pPr>
              <w:pStyle w:val="25"/>
              <w:numPr>
                <w:ilvl w:val="3"/>
                <w:numId w:val="7"/>
              </w:numPr>
              <w:overflowPunct w:val="0"/>
              <w:autoSpaceDE w:val="0"/>
              <w:autoSpaceDN w:val="0"/>
              <w:adjustRightInd w:val="0"/>
              <w:spacing w:after="120"/>
              <w:contextualSpacing w:val="0"/>
              <w:textAlignment w:val="baseline"/>
              <w:rPr>
                <w:sz w:val="18"/>
                <w:szCs w:val="22"/>
                <w:lang w:eastAsia="zh-CN"/>
              </w:rPr>
            </w:pPr>
            <w:r>
              <w:rPr>
                <w:sz w:val="18"/>
                <w:szCs w:val="22"/>
                <w:lang w:eastAsia="zh-CN"/>
              </w:rPr>
              <w:t>PRS resource repetitions (in different slots) within one PRS instance. Number of repetitions is FFS</w:t>
            </w:r>
          </w:p>
          <w:p>
            <w:pPr>
              <w:pStyle w:val="25"/>
              <w:numPr>
                <w:ilvl w:val="2"/>
                <w:numId w:val="7"/>
              </w:numPr>
              <w:overflowPunct w:val="0"/>
              <w:autoSpaceDE w:val="0"/>
              <w:autoSpaceDN w:val="0"/>
              <w:adjustRightInd w:val="0"/>
              <w:spacing w:after="120"/>
              <w:contextualSpacing w:val="0"/>
              <w:textAlignment w:val="baseline"/>
              <w:rPr>
                <w:sz w:val="18"/>
                <w:szCs w:val="22"/>
                <w:lang w:eastAsia="zh-CN"/>
              </w:rPr>
            </w:pPr>
            <w:r>
              <w:rPr>
                <w:sz w:val="18"/>
                <w:szCs w:val="22"/>
                <w:lang w:eastAsia="zh-CN"/>
              </w:rPr>
              <w:t>Condition 3b: CATT</w:t>
            </w:r>
          </w:p>
          <w:p>
            <w:pPr>
              <w:pStyle w:val="25"/>
              <w:numPr>
                <w:ilvl w:val="3"/>
                <w:numId w:val="7"/>
              </w:numPr>
              <w:overflowPunct w:val="0"/>
              <w:autoSpaceDE w:val="0"/>
              <w:autoSpaceDN w:val="0"/>
              <w:adjustRightInd w:val="0"/>
              <w:spacing w:after="120"/>
              <w:contextualSpacing w:val="0"/>
              <w:textAlignment w:val="baseline"/>
              <w:rPr>
                <w:sz w:val="18"/>
                <w:szCs w:val="22"/>
                <w:lang w:eastAsia="zh-CN"/>
              </w:rPr>
            </w:pPr>
            <w:r>
              <w:rPr>
                <w:sz w:val="18"/>
                <w:szCs w:val="22"/>
                <w:lang w:eastAsia="zh-CN"/>
              </w:rPr>
              <w:t>For the PRS measurement with small periodicity or the PRS measurement with resources having multiple PRS symbols in one sample or for the UE which have higher processing capability</w:t>
            </w:r>
          </w:p>
          <w:p>
            <w:pPr>
              <w:rPr>
                <w:sz w:val="18"/>
                <w:szCs w:val="21"/>
                <w:lang w:val="en-US"/>
              </w:rPr>
            </w:pPr>
          </w:p>
          <w:p>
            <w:pPr>
              <w:pStyle w:val="25"/>
              <w:numPr>
                <w:ilvl w:val="0"/>
                <w:numId w:val="0"/>
              </w:numPr>
              <w:ind w:leftChars="0"/>
              <w:rPr>
                <w:b/>
                <w:sz w:val="22"/>
                <w:szCs w:val="22"/>
                <w:u w:val="single"/>
                <w:lang w:eastAsia="ko-KR"/>
              </w:rPr>
            </w:pPr>
            <w:r>
              <w:rPr>
                <w:b/>
                <w:sz w:val="18"/>
                <w:szCs w:val="21"/>
                <w:u w:val="single"/>
                <w:lang w:eastAsia="ko-KR"/>
              </w:rPr>
              <w:t>Reducing Rx beam sweeping factor</w:t>
            </w:r>
          </w:p>
          <w:p>
            <w:pPr>
              <w:pStyle w:val="25"/>
              <w:numPr>
                <w:ilvl w:val="1"/>
                <w:numId w:val="8"/>
              </w:numPr>
              <w:spacing w:before="120"/>
              <w:ind w:left="717" w:hanging="357"/>
              <w:contextualSpacing w:val="0"/>
              <w:rPr>
                <w:bCs/>
                <w:sz w:val="18"/>
                <w:szCs w:val="21"/>
                <w:lang w:eastAsia="ko-KR"/>
              </w:rPr>
            </w:pPr>
            <w:r>
              <w:rPr>
                <w:bCs/>
                <w:sz w:val="18"/>
                <w:szCs w:val="21"/>
                <w:lang w:eastAsia="ko-KR"/>
              </w:rPr>
              <w:t>Introduce a new UE capability on lower Rx beam sweeping factor (&lt;8) to reduce the PRS measurement latency for FR2 positioning frequency layers under certain conditions. Conditions are FFS.</w:t>
            </w:r>
          </w:p>
          <w:p>
            <w:pPr>
              <w:pStyle w:val="25"/>
              <w:numPr>
                <w:ilvl w:val="1"/>
                <w:numId w:val="8"/>
              </w:numPr>
              <w:spacing w:before="120"/>
              <w:ind w:left="717" w:hanging="357"/>
              <w:contextualSpacing w:val="0"/>
              <w:rPr>
                <w:bCs/>
                <w:sz w:val="18"/>
                <w:szCs w:val="21"/>
                <w:lang w:eastAsia="ko-KR"/>
              </w:rPr>
            </w:pPr>
            <w:r>
              <w:rPr>
                <w:sz w:val="18"/>
                <w:szCs w:val="21"/>
              </w:rPr>
              <w:t>FFS: Options for conditions:</w:t>
            </w:r>
          </w:p>
          <w:p>
            <w:pPr>
              <w:pStyle w:val="8"/>
              <w:numPr>
                <w:ilvl w:val="0"/>
                <w:numId w:val="9"/>
              </w:numPr>
              <w:spacing w:before="120"/>
              <w:ind w:left="1550" w:hanging="357"/>
              <w:rPr>
                <w:rFonts w:ascii="Arial" w:hAnsi="Arial" w:cs="Arial"/>
                <w:sz w:val="21"/>
                <w:szCs w:val="21"/>
                <w:lang w:eastAsia="zh-CN"/>
              </w:rPr>
            </w:pPr>
            <w:r>
              <w:rPr>
                <w:rFonts w:ascii="Arial" w:hAnsi="Arial" w:cs="Arial"/>
                <w:sz w:val="21"/>
                <w:szCs w:val="21"/>
                <w:lang w:eastAsia="zh-CN"/>
              </w:rPr>
              <w:t>Condition 1:</w:t>
            </w:r>
          </w:p>
          <w:p>
            <w:pPr>
              <w:pStyle w:val="25"/>
              <w:numPr>
                <w:ilvl w:val="1"/>
                <w:numId w:val="9"/>
              </w:numPr>
              <w:overflowPunct w:val="0"/>
              <w:autoSpaceDE w:val="0"/>
              <w:autoSpaceDN w:val="0"/>
              <w:adjustRightInd w:val="0"/>
              <w:spacing w:after="180"/>
              <w:ind w:left="2271"/>
              <w:contextualSpacing w:val="0"/>
              <w:textAlignment w:val="baseline"/>
              <w:rPr>
                <w:rFonts w:cs="Arial" w:eastAsiaTheme="minorEastAsia"/>
                <w:iCs/>
                <w:sz w:val="18"/>
                <w:szCs w:val="21"/>
                <w:lang w:eastAsia="zh-CN"/>
              </w:rPr>
            </w:pPr>
            <w:r>
              <w:rPr>
                <w:rFonts w:cs="Arial" w:eastAsiaTheme="minorEastAsia"/>
                <w:iCs/>
                <w:sz w:val="18"/>
                <w:szCs w:val="21"/>
                <w:lang w:eastAsia="zh-CN"/>
              </w:rPr>
              <w:t>RX beam sweeping is reduced if UE is provided with the QCL information of the PRS (dl-PRS-QCL-Info)</w:t>
            </w:r>
          </w:p>
          <w:p>
            <w:pPr>
              <w:pStyle w:val="25"/>
              <w:numPr>
                <w:ilvl w:val="0"/>
                <w:numId w:val="9"/>
              </w:numPr>
              <w:overflowPunct w:val="0"/>
              <w:autoSpaceDE w:val="0"/>
              <w:autoSpaceDN w:val="0"/>
              <w:adjustRightInd w:val="0"/>
              <w:spacing w:after="180"/>
              <w:ind w:left="1551"/>
              <w:contextualSpacing w:val="0"/>
              <w:textAlignment w:val="baseline"/>
              <w:rPr>
                <w:rFonts w:hint="eastAsia" w:eastAsia="宋体"/>
                <w:color w:val="0070C0"/>
                <w:sz w:val="18"/>
                <w:szCs w:val="22"/>
                <w:lang w:val="en-US" w:eastAsia="zh-CN"/>
              </w:rPr>
            </w:pPr>
            <w:r>
              <w:rPr>
                <w:rFonts w:cs="Arial" w:eastAsiaTheme="minorEastAsia"/>
                <w:iCs/>
                <w:sz w:val="18"/>
                <w:szCs w:val="21"/>
                <w:lang w:eastAsia="zh-CN"/>
              </w:rPr>
              <w:t>Other conditions not precluded</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color w:val="auto"/>
          <w:sz w:val="22"/>
          <w:szCs w:val="22"/>
          <w:lang w:val="en-US" w:eastAsia="zh-CN"/>
        </w:rPr>
      </w:pPr>
      <w:r>
        <w:rPr>
          <w:rFonts w:hint="eastAsia"/>
          <w:b/>
          <w:bCs w:val="0"/>
          <w:color w:val="auto"/>
          <w:sz w:val="22"/>
          <w:szCs w:val="22"/>
          <w:u w:val="single"/>
          <w:lang w:val="en-US" w:eastAsia="zh-CN"/>
        </w:rPr>
        <w:t>One or more conditions under which samples for AGC is reduced or not required for PRS measurements</w:t>
      </w:r>
    </w:p>
    <w:p>
      <w:pPr>
        <w:rPr>
          <w:rFonts w:hint="default"/>
          <w:b w:val="0"/>
          <w:bCs/>
          <w:sz w:val="22"/>
          <w:szCs w:val="22"/>
          <w:lang w:val="en-US" w:eastAsia="zh-CN"/>
        </w:rPr>
      </w:pPr>
      <w:r>
        <w:rPr>
          <w:rFonts w:hint="eastAsia"/>
          <w:b w:val="0"/>
          <w:bCs/>
          <w:sz w:val="22"/>
          <w:szCs w:val="22"/>
          <w:lang w:val="en-US" w:eastAsia="zh-CN"/>
        </w:rPr>
        <w:t>We agree with Option 1B, which is certain power difference between serving and neighbor cell signal power shall be maintained if AGC settling is to be avoided. AGC settling is essentially caused by the different received power from different cells, so the UE needs to re-adjust the AGC to properly receive signals from a new cell. If the power level from two cells are within a given margin, then the UE should be able to directly apply the AGC parameters from one cell to another without having to measure again the power level. We also propose to re-use the conclusion from the RF session that the maximum power imbalance between two cells is 6 dB to avoid AGC settling.</w:t>
      </w:r>
    </w:p>
    <w:p>
      <w:pPr>
        <w:pStyle w:val="35"/>
        <w:rPr>
          <w:rFonts w:hint="eastAsia"/>
          <w:b/>
          <w:bCs w:val="0"/>
          <w:sz w:val="22"/>
          <w:szCs w:val="22"/>
          <w:lang w:val="en-US" w:eastAsia="zh-CN"/>
        </w:rPr>
      </w:pPr>
      <w:r>
        <w:rPr>
          <w:rFonts w:hint="eastAsia"/>
          <w:b/>
          <w:bCs w:val="0"/>
          <w:sz w:val="22"/>
          <w:szCs w:val="22"/>
          <w:lang w:val="en-US" w:eastAsia="zh-CN"/>
        </w:rPr>
        <w:t>AGC settling can be avoided if difference between serving and neighboring cell Es/Iot is within 6 dB.</w:t>
      </w:r>
    </w:p>
    <w:p>
      <w:pPr>
        <w:rPr>
          <w:rFonts w:hint="eastAsia"/>
          <w:b w:val="0"/>
          <w:bCs/>
          <w:sz w:val="22"/>
          <w:szCs w:val="22"/>
          <w:lang w:val="en-US" w:eastAsia="zh-CN"/>
        </w:rPr>
      </w:pPr>
    </w:p>
    <w:p>
      <w:pPr>
        <w:rPr>
          <w:rFonts w:eastAsia="Yu Mincho"/>
          <w:b/>
          <w:color w:val="auto"/>
          <w:sz w:val="22"/>
          <w:szCs w:val="22"/>
          <w:u w:val="single"/>
          <w:lang w:eastAsia="ko-KR"/>
        </w:rPr>
      </w:pPr>
      <w:r>
        <w:rPr>
          <w:rFonts w:eastAsia="Yu Mincho"/>
          <w:b/>
          <w:color w:val="auto"/>
          <w:sz w:val="22"/>
          <w:szCs w:val="22"/>
          <w:u w:val="single"/>
          <w:lang w:eastAsia="ko-KR"/>
        </w:rPr>
        <w:t>Reducing Rx beam sweeping factor</w:t>
      </w:r>
    </w:p>
    <w:p>
      <w:pPr>
        <w:rPr>
          <w:rFonts w:hint="default" w:eastAsia="宋体"/>
          <w:b/>
          <w:color w:val="auto"/>
          <w:sz w:val="22"/>
          <w:szCs w:val="22"/>
          <w:u w:val="single"/>
          <w:lang w:val="en-US" w:eastAsia="zh-CN"/>
        </w:rPr>
      </w:pPr>
      <w:r>
        <w:rPr>
          <w:rFonts w:hint="eastAsia" w:eastAsia="宋体"/>
          <w:b w:val="0"/>
          <w:bCs/>
          <w:color w:val="auto"/>
          <w:sz w:val="22"/>
          <w:szCs w:val="22"/>
          <w:u w:val="none"/>
          <w:lang w:val="en-US" w:eastAsia="zh-CN"/>
        </w:rPr>
        <w:t>Based on the discussions, we understand that the discussions are related to a new UE capability to support less Rx beams. If this is a new UE capability then the assumption shall be that the positioning accuracy shall be the same as when the number of Rx beams is 8. Otherwise a new capability is not needed and legacy UEs can all simply do beam sweeping with less beams, under which case a performance loss is to be expected.</w:t>
      </w:r>
    </w:p>
    <w:p>
      <w:pPr>
        <w:pStyle w:val="35"/>
        <w:rPr>
          <w:rFonts w:hint="eastAsia"/>
          <w:b w:val="0"/>
          <w:bCs/>
          <w:sz w:val="22"/>
          <w:szCs w:val="22"/>
          <w:lang w:val="en-US" w:eastAsia="zh-CN"/>
        </w:rPr>
      </w:pPr>
      <w:r>
        <w:rPr>
          <w:rFonts w:hint="eastAsia" w:eastAsia="宋体"/>
          <w:color w:val="auto"/>
          <w:szCs w:val="24"/>
          <w:lang w:val="en-US" w:eastAsia="zh-CN"/>
        </w:rPr>
        <w:t>The measurement accuracy shall at least remain the same for UEs supporting this new capability.</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AGC settling can be avoided if difference between serving and neighboring cell Es/Iot is within 6 dB</w:t>
      </w:r>
      <w:r>
        <w:rPr>
          <w:rFonts w:hint="eastAsia" w:eastAsia="宋体"/>
          <w:b/>
          <w:bCs w:val="0"/>
          <w:color w:val="auto"/>
          <w:szCs w:val="24"/>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eastAsia="宋体"/>
          <w:b/>
          <w:bCs w:val="0"/>
          <w:color w:val="auto"/>
          <w:szCs w:val="24"/>
          <w:lang w:val="en-US" w:eastAsia="zh-CN"/>
        </w:rPr>
        <w:t>The measurement accuracy shall at least remain the same for UEs supporting this new capability.</w:t>
      </w:r>
    </w:p>
    <w:p>
      <w:pPr>
        <w:pStyle w:val="27"/>
        <w:jc w:val="both"/>
      </w:pPr>
      <w:r>
        <w:t>References</w:t>
      </w:r>
    </w:p>
    <w:p>
      <w:pPr>
        <w:numPr>
          <w:ilvl w:val="0"/>
          <w:numId w:val="1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R4-2120419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1023775"/>
    <w:multiLevelType w:val="multilevel"/>
    <w:tmpl w:val="110237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9623AF7"/>
    <w:multiLevelType w:val="multilevel"/>
    <w:tmpl w:val="59623A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5D376A5"/>
    <w:multiLevelType w:val="multilevel"/>
    <w:tmpl w:val="75D376A5"/>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num w:numId="1">
    <w:abstractNumId w:val="2"/>
  </w:num>
  <w:num w:numId="2">
    <w:abstractNumId w:val="4"/>
  </w:num>
  <w:num w:numId="3">
    <w:abstractNumId w:val="3"/>
  </w:num>
  <w:num w:numId="4">
    <w:abstractNumId w:val="8"/>
  </w:num>
  <w:num w:numId="5">
    <w:abstractNumId w:val="5"/>
  </w:num>
  <w:num w:numId="6">
    <w:abstractNumId w:val="1"/>
  </w:num>
  <w:num w:numId="7">
    <w:abstractNumId w:val="7"/>
  </w:num>
  <w:num w:numId="8">
    <w:abstractNumId w:val="9"/>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601D62"/>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30928"/>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4E7F18"/>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8A7409"/>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801E3E"/>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3F5D54"/>
    <w:rsid w:val="364E69C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71362D"/>
    <w:rsid w:val="3F8A42CB"/>
    <w:rsid w:val="3FBE1A7F"/>
    <w:rsid w:val="3FE449E2"/>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173946"/>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7E67BB"/>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8702B6"/>
    <w:rsid w:val="5CE80244"/>
    <w:rsid w:val="5CEB6783"/>
    <w:rsid w:val="5D041ECD"/>
    <w:rsid w:val="5D5E1AC8"/>
    <w:rsid w:val="5E051414"/>
    <w:rsid w:val="5E206741"/>
    <w:rsid w:val="5E2D4C21"/>
    <w:rsid w:val="5E820037"/>
    <w:rsid w:val="5EE41E2E"/>
    <w:rsid w:val="5EF332F6"/>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5964ED"/>
    <w:rsid w:val="676541F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1D44E3"/>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A12601"/>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